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3: Food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3: Eating at a Chinese Restaurant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tbl>
      <w:tblPr>
        <w:tblStyle w:val="Table1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75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converse about typical Western and Chinese foods and drinks.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and answer questions about basic tastes, such as sweet, spicy, salty, sour, and bitter.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give a waitress or a waiter their order or ask for a check.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inquire and express preferences for food and drinks.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75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identify main items on food labels.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comprehend some authentic Chinese restaurant menus.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read and comprehend common ingredients.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identify, from the menu, the type of food and tastes (hot, sweet, etc.)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determine the price of the food items from the menu.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the basic ingredients in some Chinese dishes.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write about the basic tastes of Chinese dishes.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writ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菜，猪，牛，羊，鱼，肉，汤，酸，甜，辣，咸、份、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杯、瓶、碗、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盘、双、筷、刀、叉、勺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6660"/>
        <w:tblGridChange w:id="0">
          <w:tblGrid>
            <w:gridCol w:w="2805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Or 还是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Go where去哪儿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Time 时间</w:t>
              <w:tab/>
              <w:t xml:space="preserve">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 With/and...together和...一起        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 Cup/glass 杯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6. Bottle 瓶           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 Bowl 碗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8. Plate 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Portion 份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Chopsticks筷子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Pair 双  </w:t>
              <w:tab/>
              <w:t xml:space="preserve"> </w:t>
              <w:tab/>
              <w:t xml:space="preserve">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knife &amp; fork 刀叉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Spoon 勺子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Measure word for guests 位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Wait a minute稍等/稍候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Waiter/Waitress 服务员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17.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Order food点菜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18.Pay the bill买单/埋单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19.Treat 请客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20. AA制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 green onion 葱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 ginger 姜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 garlic 蒜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 peanut 花生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食物饮料量词：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杯：cup/class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瓶：bottle 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碗：bowl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盘：plate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份：portion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here do you want to eat breakfast/lunch/dinner?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你想去哪儿吃早/午/晚餐？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you want to have Chinese food or Western food?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你想吃中餐还是西餐？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also want to go. Let’s go together!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我也想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要去，我们一起去吧！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Excuse me, how many (guests)?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请问，几位？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would you like to drink?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请问您想喝点什么？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I’d like ____.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我想要____。（数量+饮料）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Please wait a minute.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请稍等/侯。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Are you ready to order?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请问，可以点餐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点菜了吗？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Waiter/waitress,I’m ready to order.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服务员，点餐/点菜。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Waiter/waitress,I’m ready to pay the bill.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服务员，买单//埋单。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Would you like a large or small drink?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你想要大杯还是小杯？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about we eat____?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我们吃___，怎么样/好吗？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选择疑问句：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you want A or B?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你想要A 还是 B?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want A.  or    I want B.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我想要A。         我想要B。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Would you like Chinese food or Western food?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你想吃中餐还是西餐？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I’d like to have Chinese food.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我想吃中餐。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Students can arrange plans for having meals with friends, such as what to eat, where to eat, when to eat, and with whom to eat.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还是，去哪儿，什么时间/几点，和谁一起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Vocabulary sheet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Eating at a Chinese Restaurant, Slides 2-5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Writing practice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Arranging Lunch with a Friend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2d628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2d628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Texting to Arrange Lunch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Texting Game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Finding a Cell Phone - oral and reading activity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i w:val="1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Lost Phone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 will be able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converse about food, drinks, and chopsticks with correct measure words.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杯，瓶，碗，盘，份，筷子，双，刀叉，勺子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Eating at a Chinese Restaurant, Slides 6-14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Activity 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practice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Connect Four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Activity B: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oral practice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Rhymed Story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405.0" w:type="dxa"/>
        <w:jc w:val="left"/>
        <w:tblInd w:w="-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 will be able 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 read and describe menu items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葱，姜，蒜，花生，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Eating at a Chinese Restaurant, Slides 21-24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oral practice: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Authentic Menu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&amp;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PPT, Authentic Menu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(for extra practice)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 and Oral practice: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My Chicken Menu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Students will be able to talk about their daily schedule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位，稍等/稍后，服务员，点菜，买单/埋单，请客，AA制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Eating at a Chinese Restaurant Page 15-21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presentation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Special Requests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presentation: Group Role-Plays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Eating at the Chinese Restaurant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             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See Video of a Restaurant Group Role-Play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Culture Activity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Watch the video below about Chinese people at a restaurant and make a Venn diagram about the same/different customs related to dining in Western and Chinese cultures.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EPIC FIGHT Over Dinner Bill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Chinese Dining Etiquette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2d628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Adapted from Jefferson County Public School, KY, 2011</w:t>
        <w:br w:type="textWrapping"/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  <w:font w:name="Calibri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M44EqOUS7ot0e9nR-FtBxg_C8Z-AOjsmSsE2lthX5jw/pub?start=false&amp;loop=false&amp;delayms=3000" TargetMode="External"/><Relationship Id="rId22" Type="http://schemas.openxmlformats.org/officeDocument/2006/relationships/hyperlink" Target="https://docs.google.com/document/d/1DhfZgSb6wdPf9KL6YuabiWK6btcp3cZR4azu3zER6_c/edit" TargetMode="External"/><Relationship Id="rId21" Type="http://schemas.openxmlformats.org/officeDocument/2006/relationships/hyperlink" Target="https://docs.google.com/document/d/1yxGKak-VJdap-Mm1nM_6AuvrtjJ7EfQCD1Oh2-NsjA4/edit" TargetMode="External"/><Relationship Id="rId24" Type="http://schemas.openxmlformats.org/officeDocument/2006/relationships/hyperlink" Target="https://www.youtube.com/watch?v=kxiM2evjKKY" TargetMode="External"/><Relationship Id="rId23" Type="http://schemas.openxmlformats.org/officeDocument/2006/relationships/hyperlink" Target="https://www.youtube.com/watch?v=5G4dEZkStY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bNpuHafy8N2P25L5GkTPzKKklvHYtLt-qXboIQbr04U/edit" TargetMode="External"/><Relationship Id="rId25" Type="http://schemas.openxmlformats.org/officeDocument/2006/relationships/hyperlink" Target="https://www.youtube.com/watch?v=jkyE2rPac3s&amp;list=PLNWtx_D6SiDU3oZDhwOIb68PcHeDGM8eu" TargetMode="External"/><Relationship Id="rId5" Type="http://schemas.openxmlformats.org/officeDocument/2006/relationships/hyperlink" Target="https://docs.google.com/document/d/1rh43ukqPjqlu7WfeIE-JgI4q1RS2Ac-IWNNq2KRNjbI/edit" TargetMode="External"/><Relationship Id="rId6" Type="http://schemas.openxmlformats.org/officeDocument/2006/relationships/hyperlink" Target="http://www.kitzkikz.com/flashcards/output_pdf.php?id=FDSD8k&amp;submit=View+PDF" TargetMode="External"/><Relationship Id="rId7" Type="http://schemas.openxmlformats.org/officeDocument/2006/relationships/hyperlink" Target="https://docs.google.com/presentation/d/1M44EqOUS7ot0e9nR-FtBxg_C8Z-AOjsmSsE2lthX5jw/pub?start=false&amp;loop=false&amp;delayms=3000" TargetMode="External"/><Relationship Id="rId8" Type="http://schemas.openxmlformats.org/officeDocument/2006/relationships/hyperlink" Target="https://docs.google.com/file/d/0B3dxpPAoCZi7T2g4Rm5xMFh4dEE/edit" TargetMode="External"/><Relationship Id="rId11" Type="http://schemas.openxmlformats.org/officeDocument/2006/relationships/hyperlink" Target="https://docs.google.com/presentation/d/1jwUXxK2fM2f9_BfaoNt8U5L2mxpkmt6YSyorwfJOiUs/pub?start=false&amp;loop=false&amp;delayms=3000" TargetMode="External"/><Relationship Id="rId10" Type="http://schemas.openxmlformats.org/officeDocument/2006/relationships/hyperlink" Target="https://docs.google.com/document/d/1sC-f2v2oeEm-Y8I0E3OJDTwqEg9z4Tcm9g544wVlpTc/edit" TargetMode="External"/><Relationship Id="rId13" Type="http://schemas.openxmlformats.org/officeDocument/2006/relationships/hyperlink" Target="https://docs.google.com/presentation/d/1M44EqOUS7ot0e9nR-FtBxg_C8Z-AOjsmSsE2lthX5jw/pub?start=false&amp;loop=false&amp;delayms=3000" TargetMode="External"/><Relationship Id="rId12" Type="http://schemas.openxmlformats.org/officeDocument/2006/relationships/hyperlink" Target="https://docs.google.com/document/d/1kOhWB3f1iPmytawwv4_E9FXoCDiNmoBqJhP_BaUAOds/edit" TargetMode="External"/><Relationship Id="rId15" Type="http://schemas.openxmlformats.org/officeDocument/2006/relationships/hyperlink" Target="https://docs.google.com/document/d/1-cqFIHFe8PolxBJq2hOBjfvuoGlaoUpZ6G92LTjUm3Q/edit" TargetMode="External"/><Relationship Id="rId14" Type="http://schemas.openxmlformats.org/officeDocument/2006/relationships/hyperlink" Target="https://docs.google.com/document/d/1-56KNhhDSYay-9IvXe5IKRFD5xNUfcfwUBT_cdnrohc/edit" TargetMode="External"/><Relationship Id="rId17" Type="http://schemas.openxmlformats.org/officeDocument/2006/relationships/hyperlink" Target="https://docs.google.com/document/d/1qSRo30c0BGCvgw9-J_P_-P1lhRMESWYxF66DoHtbZU0/edit" TargetMode="External"/><Relationship Id="rId16" Type="http://schemas.openxmlformats.org/officeDocument/2006/relationships/hyperlink" Target="https://docs.google.com/presentation/d/1M44EqOUS7ot0e9nR-FtBxg_C8Z-AOjsmSsE2lthX5jw/pub?start=false&amp;loop=false&amp;delayms=3000" TargetMode="External"/><Relationship Id="rId19" Type="http://schemas.openxmlformats.org/officeDocument/2006/relationships/hyperlink" Target="https://docs.google.com/document/d/1mmF7y4vmeiXkgMy80hZh8LIuL02l-H_iOBTxFiSKu_4/edit" TargetMode="External"/><Relationship Id="rId18" Type="http://schemas.openxmlformats.org/officeDocument/2006/relationships/hyperlink" Target="https://docs.google.com/file/d/0BxarWBoVt3eka2hVR1ppYlNKSjA/edit" TargetMode="External"/></Relationships>
</file>